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99FB" w14:textId="77777777" w:rsidR="009C4D46" w:rsidRPr="00622CCA" w:rsidRDefault="00622CCA">
      <w:pP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r w:rsidR="002B364F" w:rsidRPr="00622CCA">
        <w:rPr>
          <w:rFonts w:ascii="Times New Roman" w:hAnsi="Times New Roman" w:cs="Times New Roman"/>
          <w:b/>
          <w:sz w:val="28"/>
          <w:szCs w:val="28"/>
        </w:rPr>
        <w:t xml:space="preserve">№9 </w:t>
      </w:r>
      <w:r w:rsidR="002B364F" w:rsidRPr="00622CCA">
        <w:rPr>
          <w:rFonts w:ascii="Times New Roman" w:hAnsi="Times New Roman" w:cs="Times New Roman"/>
          <w:b/>
          <w:sz w:val="28"/>
          <w:szCs w:val="28"/>
          <w:lang w:val="kk-KZ"/>
        </w:rPr>
        <w:t>жалпы орта білім беретін мектебі</w:t>
      </w:r>
      <w:r w:rsidRPr="00622CCA">
        <w:rPr>
          <w:rFonts w:ascii="Times New Roman" w:hAnsi="Times New Roman" w:cs="Times New Roman"/>
          <w:b/>
          <w:sz w:val="28"/>
          <w:szCs w:val="28"/>
        </w:rPr>
        <w:t>»</w:t>
      </w:r>
      <w:r w:rsidR="002B364F" w:rsidRPr="00622CCA">
        <w:rPr>
          <w:rFonts w:ascii="Times New Roman" w:hAnsi="Times New Roman" w:cs="Times New Roman"/>
          <w:b/>
          <w:sz w:val="28"/>
          <w:szCs w:val="28"/>
          <w:lang w:val="kk-KZ"/>
        </w:rPr>
        <w:t xml:space="preserve"> КММ</w:t>
      </w: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Бос лауазымның атауы:</w:t>
      </w:r>
    </w:p>
    <w:p w14:paraId="67C73B2E" w14:textId="0731774F" w:rsidR="002B364F" w:rsidRPr="000869A2" w:rsidRDefault="00874398">
      <w:pPr>
        <w:rPr>
          <w:rFonts w:ascii="Times New Roman" w:hAnsi="Times New Roman" w:cs="Times New Roman"/>
          <w:sz w:val="28"/>
          <w:szCs w:val="28"/>
          <w:lang w:val="kk-KZ"/>
        </w:rPr>
      </w:pPr>
      <w:r>
        <w:rPr>
          <w:rFonts w:ascii="Times New Roman" w:hAnsi="Times New Roman" w:cs="Times New Roman"/>
          <w:sz w:val="28"/>
          <w:szCs w:val="28"/>
          <w:lang w:val="kk-KZ"/>
        </w:rPr>
        <w:t>П</w:t>
      </w:r>
      <w:r w:rsidR="008117EA">
        <w:rPr>
          <w:rFonts w:ascii="Times New Roman" w:hAnsi="Times New Roman" w:cs="Times New Roman"/>
          <w:sz w:val="28"/>
          <w:szCs w:val="28"/>
          <w:lang w:val="kk-KZ"/>
        </w:rPr>
        <w:t>едагог-п</w:t>
      </w:r>
      <w:r>
        <w:rPr>
          <w:rFonts w:ascii="Times New Roman" w:hAnsi="Times New Roman" w:cs="Times New Roman"/>
          <w:sz w:val="28"/>
          <w:szCs w:val="28"/>
          <w:lang w:val="kk-KZ"/>
        </w:rPr>
        <w:t>сихолог</w:t>
      </w:r>
      <w:r w:rsidR="001A5A99">
        <w:rPr>
          <w:rFonts w:ascii="Times New Roman" w:hAnsi="Times New Roman" w:cs="Times New Roman"/>
          <w:sz w:val="28"/>
          <w:szCs w:val="28"/>
          <w:lang w:val="kk-KZ"/>
        </w:rPr>
        <w:t xml:space="preserve"> – 1</w:t>
      </w:r>
      <w:r w:rsidR="00811A9B">
        <w:rPr>
          <w:rFonts w:ascii="Times New Roman" w:hAnsi="Times New Roman" w:cs="Times New Roman"/>
          <w:sz w:val="28"/>
          <w:szCs w:val="28"/>
          <w:lang w:val="kk-KZ"/>
        </w:rPr>
        <w:t>,5</w:t>
      </w:r>
      <w:r w:rsidR="002B364F" w:rsidRPr="000869A2">
        <w:rPr>
          <w:rFonts w:ascii="Times New Roman" w:hAnsi="Times New Roman" w:cs="Times New Roman"/>
          <w:sz w:val="28"/>
          <w:szCs w:val="28"/>
          <w:lang w:val="kk-KZ"/>
        </w:rPr>
        <w:t xml:space="preserve"> жүктеме;</w:t>
      </w:r>
    </w:p>
    <w:p w14:paraId="61364D05" w14:textId="36E53EB1" w:rsidR="002B364F" w:rsidRPr="000869A2" w:rsidRDefault="00874398">
      <w:pPr>
        <w:rPr>
          <w:rFonts w:ascii="Times New Roman" w:hAnsi="Times New Roman" w:cs="Times New Roman"/>
          <w:sz w:val="28"/>
          <w:szCs w:val="28"/>
          <w:lang w:val="kk-KZ"/>
        </w:rPr>
      </w:pPr>
      <w:r>
        <w:rPr>
          <w:rFonts w:ascii="Times New Roman" w:hAnsi="Times New Roman" w:cs="Times New Roman"/>
          <w:sz w:val="28"/>
          <w:szCs w:val="28"/>
          <w:lang w:val="kk-KZ"/>
        </w:rPr>
        <w:t>Информатика</w:t>
      </w:r>
      <w:r w:rsidR="002B364F" w:rsidRPr="000869A2">
        <w:rPr>
          <w:rFonts w:ascii="Times New Roman" w:hAnsi="Times New Roman" w:cs="Times New Roman"/>
          <w:sz w:val="28"/>
          <w:szCs w:val="28"/>
          <w:lang w:val="kk-KZ"/>
        </w:rPr>
        <w:t xml:space="preserve"> мұғалімі –</w:t>
      </w:r>
      <w:r w:rsidR="001A5A99">
        <w:rPr>
          <w:rFonts w:ascii="Times New Roman" w:hAnsi="Times New Roman" w:cs="Times New Roman"/>
          <w:sz w:val="28"/>
          <w:szCs w:val="28"/>
          <w:lang w:val="kk-KZ"/>
        </w:rPr>
        <w:t xml:space="preserve"> </w:t>
      </w:r>
      <w:r>
        <w:rPr>
          <w:rFonts w:ascii="Times New Roman" w:hAnsi="Times New Roman" w:cs="Times New Roman"/>
          <w:sz w:val="28"/>
          <w:szCs w:val="28"/>
          <w:lang w:val="kk-KZ"/>
        </w:rPr>
        <w:t>0,5</w:t>
      </w:r>
      <w:r w:rsidR="002B364F" w:rsidRPr="000869A2">
        <w:rPr>
          <w:rFonts w:ascii="Times New Roman" w:hAnsi="Times New Roman" w:cs="Times New Roman"/>
          <w:sz w:val="28"/>
          <w:szCs w:val="28"/>
          <w:lang w:val="kk-KZ"/>
        </w:rPr>
        <w:t xml:space="preserve"> жүктеме;</w:t>
      </w:r>
    </w:p>
    <w:p w14:paraId="7B359593" w14:textId="00FEC0FF" w:rsidR="002B364F" w:rsidRDefault="00E10B39">
      <w:pPr>
        <w:rPr>
          <w:rFonts w:ascii="Times New Roman" w:hAnsi="Times New Roman" w:cs="Times New Roman"/>
          <w:sz w:val="28"/>
          <w:szCs w:val="28"/>
          <w:lang w:val="kk-KZ"/>
        </w:rPr>
      </w:pPr>
      <w:r>
        <w:rPr>
          <w:rFonts w:ascii="Times New Roman" w:hAnsi="Times New Roman" w:cs="Times New Roman"/>
          <w:sz w:val="28"/>
          <w:szCs w:val="28"/>
          <w:lang w:val="kk-KZ"/>
        </w:rPr>
        <w:t>Кәсі</w:t>
      </w:r>
      <w:r w:rsidR="00CF37F4">
        <w:rPr>
          <w:rFonts w:ascii="Times New Roman" w:hAnsi="Times New Roman" w:cs="Times New Roman"/>
          <w:sz w:val="28"/>
          <w:szCs w:val="28"/>
          <w:lang w:val="kk-KZ"/>
        </w:rPr>
        <w:t>би</w:t>
      </w:r>
      <w:r>
        <w:rPr>
          <w:rFonts w:ascii="Times New Roman" w:hAnsi="Times New Roman" w:cs="Times New Roman"/>
          <w:sz w:val="28"/>
          <w:szCs w:val="28"/>
          <w:lang w:val="kk-KZ"/>
        </w:rPr>
        <w:t xml:space="preserve"> бағдар</w:t>
      </w:r>
      <w:r w:rsidR="00CF37F4">
        <w:rPr>
          <w:rFonts w:ascii="Times New Roman" w:hAnsi="Times New Roman" w:cs="Times New Roman"/>
          <w:sz w:val="28"/>
          <w:szCs w:val="28"/>
          <w:lang w:val="kk-KZ"/>
        </w:rPr>
        <w:t xml:space="preserve"> беруші педагог</w:t>
      </w:r>
      <w:r w:rsidR="001A5A99">
        <w:rPr>
          <w:rFonts w:ascii="Times New Roman" w:hAnsi="Times New Roman" w:cs="Times New Roman"/>
          <w:sz w:val="28"/>
          <w:szCs w:val="28"/>
          <w:lang w:val="kk-KZ"/>
        </w:rPr>
        <w:t xml:space="preserve"> – 1</w:t>
      </w:r>
      <w:r w:rsidR="002B364F" w:rsidRPr="000869A2">
        <w:rPr>
          <w:rFonts w:ascii="Times New Roman" w:hAnsi="Times New Roman" w:cs="Times New Roman"/>
          <w:sz w:val="28"/>
          <w:szCs w:val="28"/>
          <w:lang w:val="kk-KZ"/>
        </w:rPr>
        <w:t xml:space="preserve"> жүктеме;</w:t>
      </w:r>
    </w:p>
    <w:p w14:paraId="59E770A9" w14:textId="4D013638" w:rsidR="002B364F"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Көркем еңбек</w:t>
      </w:r>
      <w:r w:rsidR="000D224D">
        <w:rPr>
          <w:rFonts w:ascii="Times New Roman" w:hAnsi="Times New Roman" w:cs="Times New Roman"/>
          <w:sz w:val="28"/>
          <w:szCs w:val="28"/>
          <w:lang w:val="kk-KZ"/>
        </w:rPr>
        <w:t xml:space="preserve"> мұғалімі (қыздар)</w:t>
      </w:r>
      <w:r w:rsidR="00E10B39">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 xml:space="preserve"> –</w:t>
      </w:r>
      <w:r w:rsidR="001A5A99">
        <w:rPr>
          <w:rFonts w:ascii="Times New Roman" w:hAnsi="Times New Roman" w:cs="Times New Roman"/>
          <w:sz w:val="28"/>
          <w:szCs w:val="28"/>
          <w:lang w:val="kk-KZ"/>
        </w:rPr>
        <w:t xml:space="preserve">1 </w:t>
      </w:r>
      <w:r w:rsidRPr="000869A2">
        <w:rPr>
          <w:rFonts w:ascii="Times New Roman" w:hAnsi="Times New Roman" w:cs="Times New Roman"/>
          <w:sz w:val="28"/>
          <w:szCs w:val="28"/>
          <w:lang w:val="kk-KZ"/>
        </w:rPr>
        <w:t>жүктеме;</w:t>
      </w:r>
    </w:p>
    <w:p w14:paraId="2EB8B519" w14:textId="77777777" w:rsidR="002B469B" w:rsidRDefault="002B469B">
      <w:pPr>
        <w:rPr>
          <w:rFonts w:ascii="Times New Roman" w:hAnsi="Times New Roman" w:cs="Times New Roman"/>
          <w:b/>
          <w:sz w:val="28"/>
          <w:szCs w:val="28"/>
          <w:u w:val="single"/>
          <w:lang w:val="kk-KZ"/>
        </w:rPr>
      </w:pPr>
      <w:r w:rsidRPr="002B469B">
        <w:rPr>
          <w:rFonts w:ascii="Times New Roman" w:hAnsi="Times New Roman" w:cs="Times New Roman"/>
          <w:b/>
          <w:sz w:val="28"/>
          <w:szCs w:val="28"/>
          <w:u w:val="single"/>
          <w:lang w:val="kk-KZ"/>
        </w:rPr>
        <w:t xml:space="preserve">Шағын орталық: </w:t>
      </w:r>
    </w:p>
    <w:p w14:paraId="7F0854E6" w14:textId="72134FCC" w:rsidR="002B469B" w:rsidRDefault="002B469B">
      <w:pPr>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Тәрбиеші – </w:t>
      </w:r>
      <w:r w:rsidR="00E10B39">
        <w:rPr>
          <w:rFonts w:ascii="Times New Roman" w:hAnsi="Times New Roman" w:cs="Times New Roman"/>
          <w:sz w:val="28"/>
          <w:szCs w:val="28"/>
          <w:lang w:val="kk-KZ"/>
        </w:rPr>
        <w:t>3</w:t>
      </w:r>
      <w:r>
        <w:rPr>
          <w:rFonts w:ascii="Times New Roman" w:hAnsi="Times New Roman" w:cs="Times New Roman"/>
          <w:sz w:val="28"/>
          <w:szCs w:val="28"/>
          <w:lang w:val="kk-KZ"/>
        </w:rPr>
        <w:t xml:space="preserve"> жүктеме;</w:t>
      </w:r>
    </w:p>
    <w:p w14:paraId="7DADED11" w14:textId="77777777" w:rsidR="002B469B" w:rsidRDefault="002B469B">
      <w:pPr>
        <w:rPr>
          <w:rFonts w:ascii="Times New Roman" w:hAnsi="Times New Roman" w:cs="Times New Roman"/>
          <w:sz w:val="28"/>
          <w:szCs w:val="28"/>
          <w:lang w:val="kk-KZ"/>
        </w:rPr>
      </w:pPr>
      <w:r>
        <w:rPr>
          <w:rFonts w:ascii="Times New Roman" w:hAnsi="Times New Roman" w:cs="Times New Roman"/>
          <w:sz w:val="28"/>
          <w:szCs w:val="28"/>
          <w:lang w:val="kk-KZ"/>
        </w:rPr>
        <w:t>Әдіскер – 0,5 жүктеме</w:t>
      </w:r>
      <w:r w:rsidR="009472C4">
        <w:rPr>
          <w:rFonts w:ascii="Times New Roman" w:hAnsi="Times New Roman" w:cs="Times New Roman"/>
          <w:sz w:val="28"/>
          <w:szCs w:val="28"/>
          <w:lang w:val="kk-KZ"/>
        </w:rPr>
        <w:t>.</w:t>
      </w:r>
    </w:p>
    <w:p w14:paraId="30B6B231" w14:textId="532696A0" w:rsidR="00E10B39" w:rsidRDefault="003E14E6">
      <w:pPr>
        <w:rPr>
          <w:rFonts w:ascii="Times New Roman" w:hAnsi="Times New Roman" w:cs="Times New Roman"/>
          <w:sz w:val="28"/>
          <w:szCs w:val="28"/>
          <w:lang w:val="kk-KZ"/>
        </w:rPr>
      </w:pPr>
      <w:r>
        <w:rPr>
          <w:rFonts w:ascii="Times New Roman" w:hAnsi="Times New Roman" w:cs="Times New Roman"/>
          <w:sz w:val="28"/>
          <w:szCs w:val="28"/>
          <w:lang w:val="kk-KZ"/>
        </w:rPr>
        <w:t>Педагог-психолог</w:t>
      </w:r>
      <w:r w:rsidR="00E10B39">
        <w:rPr>
          <w:rFonts w:ascii="Times New Roman" w:hAnsi="Times New Roman" w:cs="Times New Roman"/>
          <w:sz w:val="28"/>
          <w:szCs w:val="28"/>
          <w:lang w:val="kk-KZ"/>
        </w:rPr>
        <w:t xml:space="preserve"> – 0,5 жүктеме</w:t>
      </w:r>
    </w:p>
    <w:p w14:paraId="2E55AD4B" w14:textId="0FBAB72B" w:rsidR="00E10B39" w:rsidRPr="00874398" w:rsidRDefault="00E10B39">
      <w:pPr>
        <w:rPr>
          <w:rFonts w:ascii="Times New Roman" w:hAnsi="Times New Roman" w:cs="Times New Roman"/>
          <w:sz w:val="28"/>
          <w:szCs w:val="28"/>
          <w:lang w:val="kk-KZ"/>
        </w:rPr>
      </w:pPr>
      <w:r>
        <w:rPr>
          <w:rFonts w:ascii="Times New Roman" w:hAnsi="Times New Roman" w:cs="Times New Roman"/>
          <w:sz w:val="28"/>
          <w:szCs w:val="28"/>
          <w:lang w:val="kk-KZ"/>
        </w:rPr>
        <w:t>Дене тәрбиесі</w:t>
      </w:r>
      <w:r w:rsidR="000D224D">
        <w:rPr>
          <w:rFonts w:ascii="Times New Roman" w:hAnsi="Times New Roman" w:cs="Times New Roman"/>
          <w:sz w:val="28"/>
          <w:szCs w:val="28"/>
          <w:lang w:val="kk-KZ"/>
        </w:rPr>
        <w:t xml:space="preserve"> жөніндегі нұсқаушы – 0,</w:t>
      </w:r>
      <w:r w:rsidR="008117EA">
        <w:rPr>
          <w:rFonts w:ascii="Times New Roman" w:hAnsi="Times New Roman" w:cs="Times New Roman"/>
          <w:sz w:val="28"/>
          <w:szCs w:val="28"/>
          <w:lang w:val="kk-KZ"/>
        </w:rPr>
        <w:t>7</w:t>
      </w:r>
      <w:r w:rsidR="000D224D">
        <w:rPr>
          <w:rFonts w:ascii="Times New Roman" w:hAnsi="Times New Roman" w:cs="Times New Roman"/>
          <w:sz w:val="28"/>
          <w:szCs w:val="28"/>
          <w:lang w:val="kk-KZ"/>
        </w:rPr>
        <w:t>5 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lastRenderedPageBreak/>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lastRenderedPageBreak/>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4E8783FD"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 xml:space="preserve">шетау қаласы, Қызыл жар </w:t>
      </w:r>
      <w:r w:rsidRPr="000869A2">
        <w:rPr>
          <w:rFonts w:ascii="Times New Roman" w:hAnsi="Times New Roman" w:cs="Times New Roman"/>
          <w:sz w:val="28"/>
          <w:szCs w:val="28"/>
          <w:lang w:val="kk-KZ"/>
        </w:rPr>
        <w:t>,</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A905D5" w:rsidRPr="000869A2">
        <w:rPr>
          <w:rFonts w:ascii="Times New Roman" w:hAnsi="Times New Roman" w:cs="Times New Roman"/>
          <w:sz w:val="28"/>
          <w:szCs w:val="28"/>
          <w:lang w:val="kk-KZ"/>
        </w:rPr>
        <w:t>+7 747 217 3556, +7 778 601 9724</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869A2"/>
    <w:rsid w:val="000D224D"/>
    <w:rsid w:val="001A5A99"/>
    <w:rsid w:val="001D38B8"/>
    <w:rsid w:val="001E663B"/>
    <w:rsid w:val="001F121D"/>
    <w:rsid w:val="00256491"/>
    <w:rsid w:val="002B364F"/>
    <w:rsid w:val="002B469B"/>
    <w:rsid w:val="003E14E6"/>
    <w:rsid w:val="00436038"/>
    <w:rsid w:val="00545E1F"/>
    <w:rsid w:val="005822BE"/>
    <w:rsid w:val="00622CCA"/>
    <w:rsid w:val="0064554D"/>
    <w:rsid w:val="0068087F"/>
    <w:rsid w:val="008117EA"/>
    <w:rsid w:val="00811A9B"/>
    <w:rsid w:val="008534BA"/>
    <w:rsid w:val="00874398"/>
    <w:rsid w:val="009472C4"/>
    <w:rsid w:val="009C4D46"/>
    <w:rsid w:val="00A81F01"/>
    <w:rsid w:val="00A905D5"/>
    <w:rsid w:val="00B3495B"/>
    <w:rsid w:val="00B87A2B"/>
    <w:rsid w:val="00BC08D0"/>
    <w:rsid w:val="00C73E87"/>
    <w:rsid w:val="00CF37F4"/>
    <w:rsid w:val="00D14C22"/>
    <w:rsid w:val="00D93B66"/>
    <w:rsid w:val="00E10B39"/>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10</cp:revision>
  <dcterms:created xsi:type="dcterms:W3CDTF">2023-07-28T14:08:00Z</dcterms:created>
  <dcterms:modified xsi:type="dcterms:W3CDTF">2023-09-07T03:45:00Z</dcterms:modified>
</cp:coreProperties>
</file>